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0813F9" w:rsidRDefault="00F92268" w:rsidP="00F246C7">
            <w:pPr>
              <w:pStyle w:val="RefTableData"/>
            </w:pPr>
            <w:r w:rsidRPr="000813F9">
              <w:t>Reference number(s)</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8289497" w:rsidR="00F92268" w:rsidRPr="000813F9" w:rsidRDefault="000813F9" w:rsidP="00F246C7">
            <w:pPr>
              <w:pStyle w:val="RefTableHeader"/>
            </w:pPr>
            <w:r w:rsidRPr="000813F9">
              <w:t>2280-A</w:t>
            </w:r>
          </w:p>
        </w:tc>
      </w:tr>
    </w:tbl>
    <w:p w14:paraId="74FBA5B4" w14:textId="77777777" w:rsidR="00051356" w:rsidRDefault="00051356" w:rsidP="00A672B3">
      <w:pPr>
        <w:pStyle w:val="BodyText"/>
        <w:rPr>
          <w:b/>
          <w:bCs/>
          <w:sz w:val="16"/>
          <w:szCs w:val="16"/>
        </w:rPr>
        <w:sectPr w:rsidR="00051356" w:rsidSect="00A31985">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5C8B6990" w:rsidR="004B15BB" w:rsidRPr="00BD1CC1" w:rsidRDefault="000813F9" w:rsidP="007E5C16">
      <w:pPr>
        <w:pStyle w:val="Heading1"/>
      </w:pPr>
      <w:r w:rsidRPr="000813F9">
        <w:t>Specialty Guideline Management</w:t>
      </w:r>
      <w:r w:rsidRPr="00BD1CC1">
        <w:br/>
      </w:r>
      <w:r w:rsidR="006725BF">
        <w:t>azacitidine-</w:t>
      </w:r>
      <w:r w:rsidRPr="000813F9">
        <w:t>Vidaza</w:t>
      </w:r>
    </w:p>
    <w:p w14:paraId="78861C92" w14:textId="6031FC30" w:rsidR="00203468" w:rsidRPr="00BD1CC1" w:rsidRDefault="00C64534" w:rsidP="008E0F0D">
      <w:pPr>
        <w:pStyle w:val="Heading2"/>
      </w:pPr>
      <w:r w:rsidRPr="00BD1CC1">
        <w:t xml:space="preserve">Products Referenced by this </w:t>
      </w:r>
      <w:r w:rsidR="00501602" w:rsidRPr="00BD1CC1">
        <w:t>Document</w:t>
      </w:r>
    </w:p>
    <w:p w14:paraId="5455152B" w14:textId="5B76EAA8"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F139E2">
        <w:t>Over-the-counter (</w:t>
      </w:r>
      <w:r w:rsidRPr="00BD1CC1">
        <w:t>OTC</w:t>
      </w:r>
      <w:r w:rsidR="00F139E2">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620" w:firstRow="1" w:lastRow="0" w:firstColumn="0" w:lastColumn="0" w:noHBand="1" w:noVBand="1"/>
      </w:tblPr>
      <w:tblGrid>
        <w:gridCol w:w="5265"/>
        <w:gridCol w:w="5595"/>
      </w:tblGrid>
      <w:tr w:rsidR="00252CE1" w:rsidRPr="00BD1CC1" w14:paraId="158421F8" w14:textId="77777777" w:rsidTr="00AA7B5E">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AA7B5E">
        <w:trPr>
          <w:cantSplit/>
        </w:trPr>
        <w:tc>
          <w:tcPr>
            <w:tcW w:w="5265" w:type="dxa"/>
          </w:tcPr>
          <w:p w14:paraId="2D8FA8E3" w14:textId="2D3453DF" w:rsidR="00585FFF" w:rsidRPr="00BD1CC1" w:rsidRDefault="000813F9" w:rsidP="00E82ABA">
            <w:pPr>
              <w:pStyle w:val="TableDataUnpadded"/>
            </w:pPr>
            <w:r w:rsidRPr="000813F9">
              <w:t xml:space="preserve">Vidaza </w:t>
            </w:r>
          </w:p>
        </w:tc>
        <w:tc>
          <w:tcPr>
            <w:tcW w:w="5595" w:type="dxa"/>
          </w:tcPr>
          <w:p w14:paraId="7E26A004" w14:textId="3AEFCED8" w:rsidR="00585FFF" w:rsidRPr="00BD1CC1" w:rsidRDefault="000813F9" w:rsidP="00E82ABA">
            <w:pPr>
              <w:pStyle w:val="TableDataUnpadded"/>
            </w:pPr>
            <w:r w:rsidRPr="000813F9">
              <w:t>azacitidine</w:t>
            </w:r>
          </w:p>
        </w:tc>
      </w:tr>
    </w:tbl>
    <w:bookmarkEnd w:id="0"/>
    <w:p w14:paraId="14CE6108" w14:textId="78A4A1B0" w:rsidR="00FC1AAD" w:rsidRDefault="00ED052F" w:rsidP="00FF66BF">
      <w:pPr>
        <w:pStyle w:val="Heading2"/>
        <w:tabs>
          <w:tab w:val="left" w:pos="9195"/>
        </w:tabs>
      </w:pPr>
      <w:r>
        <w:t>Indications</w:t>
      </w:r>
    </w:p>
    <w:p w14:paraId="7004646E" w14:textId="77777777" w:rsidR="000813F9" w:rsidRPr="000813F9" w:rsidRDefault="000813F9" w:rsidP="000813F9">
      <w:pPr>
        <w:pStyle w:val="BodyText"/>
      </w:pPr>
      <w:r w:rsidRPr="000813F9">
        <w:t>The indications below including FDA-approved indications and compendial uses are considered a covered benefit provided that all the approval criteria are met and the member has no exclusions to the prescribed therapy.</w:t>
      </w:r>
    </w:p>
    <w:p w14:paraId="134B5687" w14:textId="72A276F2" w:rsidR="00ED052F" w:rsidRDefault="000813F9" w:rsidP="00ED052F">
      <w:pPr>
        <w:pStyle w:val="Heading3"/>
        <w:keepNext w:val="0"/>
      </w:pPr>
      <w:r w:rsidRPr="000813F9">
        <w:t>FDA-Approved Indications</w:t>
      </w:r>
      <w:r w:rsidRPr="000813F9">
        <w:rPr>
          <w:vertAlign w:val="superscript"/>
        </w:rPr>
        <w:t>1,2</w:t>
      </w:r>
    </w:p>
    <w:p w14:paraId="3D351FCD" w14:textId="77777777" w:rsidR="000813F9" w:rsidRPr="000813F9" w:rsidRDefault="000813F9" w:rsidP="000813F9">
      <w:pPr>
        <w:pStyle w:val="ListParagraph"/>
      </w:pPr>
      <w:r w:rsidRPr="000813F9">
        <w:t>Myelodysplastic syndromes (MDS): azacitidine/Vidaza is indicated for treatment of adult patients with the following French-American-British (FAB) myelodysplastic syndrome subtypes: refractory anemia (RA) or refractory anemia with ringed sideroblasts (RARS) (if accompanied by neutropenia or thrombocytopenia or requiring transfusions), refractory anemia with excess blasts (RAEB), refractory anemia with excess blasts in transformation (RAEB-T), and chronic myelomonocytic leukemia (</w:t>
      </w:r>
      <w:proofErr w:type="spellStart"/>
      <w:r w:rsidRPr="000813F9">
        <w:t>CMMoL</w:t>
      </w:r>
      <w:proofErr w:type="spellEnd"/>
      <w:r w:rsidRPr="000813F9">
        <w:t>).</w:t>
      </w:r>
    </w:p>
    <w:p w14:paraId="3A11C7E6" w14:textId="77777777" w:rsidR="000813F9" w:rsidRPr="000813F9" w:rsidRDefault="000813F9" w:rsidP="000813F9">
      <w:pPr>
        <w:pStyle w:val="ListParagraph"/>
      </w:pPr>
      <w:r w:rsidRPr="000813F9">
        <w:t>Juvenile myelomonocytic leukemia (JMML): azacitidine/Vidaza is indicated for treatment of pediatric patients aged 1 month and older with newly diagnosed juvenile myelomonocytic leukemia (JMML).</w:t>
      </w:r>
    </w:p>
    <w:p w14:paraId="4C11EDD2" w14:textId="2915EE88" w:rsidR="00ED052F" w:rsidRDefault="000813F9" w:rsidP="000813F9">
      <w:pPr>
        <w:pStyle w:val="Heading3"/>
        <w:keepNext w:val="0"/>
        <w:rPr>
          <w:vertAlign w:val="superscript"/>
        </w:rPr>
      </w:pPr>
      <w:r w:rsidRPr="000813F9">
        <w:t>Compendial Uses</w:t>
      </w:r>
      <w:r w:rsidRPr="000813F9">
        <w:rPr>
          <w:vertAlign w:val="superscript"/>
        </w:rPr>
        <w:t>3-4</w:t>
      </w:r>
    </w:p>
    <w:p w14:paraId="7D889623" w14:textId="77777777" w:rsidR="000813F9" w:rsidRPr="000813F9" w:rsidRDefault="000813F9" w:rsidP="00477C29">
      <w:pPr>
        <w:pStyle w:val="ListParagraph"/>
        <w:numPr>
          <w:ilvl w:val="0"/>
          <w:numId w:val="39"/>
        </w:numPr>
      </w:pPr>
      <w:r w:rsidRPr="000813F9">
        <w:t>Acute myeloid leukemia (AML)</w:t>
      </w:r>
    </w:p>
    <w:p w14:paraId="7BF4B7BE" w14:textId="77777777" w:rsidR="000813F9" w:rsidRPr="000813F9" w:rsidRDefault="000813F9" w:rsidP="00477C29">
      <w:pPr>
        <w:pStyle w:val="ListParagraph"/>
        <w:numPr>
          <w:ilvl w:val="0"/>
          <w:numId w:val="39"/>
        </w:numPr>
      </w:pPr>
      <w:r w:rsidRPr="000813F9">
        <w:t>Accelerated phase or blast phase myeloproliferative neoplasm</w:t>
      </w:r>
    </w:p>
    <w:p w14:paraId="7639FE1D" w14:textId="77777777" w:rsidR="000813F9" w:rsidRPr="000813F9" w:rsidRDefault="000813F9" w:rsidP="00477C29">
      <w:pPr>
        <w:pStyle w:val="ListParagraph"/>
        <w:numPr>
          <w:ilvl w:val="0"/>
          <w:numId w:val="39"/>
        </w:numPr>
      </w:pPr>
      <w:r w:rsidRPr="000813F9">
        <w:lastRenderedPageBreak/>
        <w:t xml:space="preserve">Blastic plasmacytoid dendritic cell neoplasm (BPDCN) </w:t>
      </w:r>
    </w:p>
    <w:p w14:paraId="29D695BF" w14:textId="77777777" w:rsidR="000813F9" w:rsidRPr="000813F9" w:rsidRDefault="000813F9" w:rsidP="00477C29">
      <w:pPr>
        <w:pStyle w:val="ListParagraph"/>
        <w:numPr>
          <w:ilvl w:val="0"/>
          <w:numId w:val="39"/>
        </w:numPr>
      </w:pPr>
      <w:r w:rsidRPr="000813F9">
        <w:t>Myelodysplastic syndrome (MDS)/Myeloproliferative Neoplasms (MPN) Overlap Neoplasms</w:t>
      </w:r>
    </w:p>
    <w:p w14:paraId="283B99EE" w14:textId="77777777" w:rsidR="000813F9" w:rsidRPr="000813F9" w:rsidRDefault="000813F9" w:rsidP="00477C29">
      <w:pPr>
        <w:pStyle w:val="ListParagraph"/>
        <w:numPr>
          <w:ilvl w:val="0"/>
          <w:numId w:val="39"/>
        </w:numPr>
        <w:spacing w:after="120"/>
      </w:pPr>
      <w:r w:rsidRPr="000813F9">
        <w:t>Peripheral T-cell lymphoma</w:t>
      </w:r>
    </w:p>
    <w:p w14:paraId="64FE6F89" w14:textId="77777777" w:rsidR="000813F9" w:rsidRPr="008C2C99" w:rsidRDefault="000813F9" w:rsidP="00822D5D">
      <w:pPr>
        <w:pStyle w:val="BodyText"/>
        <w:spacing w:after="0"/>
      </w:pPr>
      <w:r w:rsidRPr="008D1D8B">
        <w:t xml:space="preserve">All other indications are considered experimental/investigational and </w:t>
      </w:r>
      <w:r w:rsidRPr="000813F9">
        <w:t>not medically necessary.</w:t>
      </w:r>
    </w:p>
    <w:p w14:paraId="57BCC6AC" w14:textId="158B140C" w:rsidR="000813F9" w:rsidRPr="000813F9" w:rsidRDefault="00AC2E2D" w:rsidP="000813F9">
      <w:pPr>
        <w:pStyle w:val="Heading2"/>
        <w:tabs>
          <w:tab w:val="left" w:pos="9195"/>
        </w:tabs>
      </w:pPr>
      <w:r>
        <w:t>Coverage Criteria</w:t>
      </w:r>
    </w:p>
    <w:p w14:paraId="49622DB3" w14:textId="22B53E78" w:rsidR="000813F9" w:rsidRPr="000813F9" w:rsidRDefault="000813F9" w:rsidP="000813F9">
      <w:pPr>
        <w:pStyle w:val="Heading3"/>
        <w:keepNext w:val="0"/>
      </w:pPr>
      <w:r w:rsidRPr="000813F9">
        <w:t xml:space="preserve">Myelodysplastic </w:t>
      </w:r>
      <w:r w:rsidR="00383FCF" w:rsidRPr="000813F9">
        <w:t xml:space="preserve">Syndromes </w:t>
      </w:r>
      <w:r w:rsidRPr="000813F9">
        <w:t>(MDS)</w:t>
      </w:r>
      <w:r w:rsidRPr="000813F9">
        <w:rPr>
          <w:vertAlign w:val="superscript"/>
        </w:rPr>
        <w:t>1,2,3</w:t>
      </w:r>
    </w:p>
    <w:p w14:paraId="567FFBE6" w14:textId="77777777" w:rsidR="000813F9" w:rsidRPr="000813F9" w:rsidRDefault="000813F9" w:rsidP="000813F9">
      <w:pPr>
        <w:pStyle w:val="BodyText"/>
      </w:pPr>
      <w:r w:rsidRPr="000813F9">
        <w:t>Authorization of 12 months may be granted for the treatment of MDS.</w:t>
      </w:r>
    </w:p>
    <w:p w14:paraId="30BB0AB9" w14:textId="76C8EBB2" w:rsidR="000813F9" w:rsidRPr="000813F9" w:rsidRDefault="000813F9" w:rsidP="000813F9">
      <w:pPr>
        <w:pStyle w:val="Heading3"/>
        <w:keepNext w:val="0"/>
      </w:pPr>
      <w:r w:rsidRPr="000813F9">
        <w:t xml:space="preserve">Acute </w:t>
      </w:r>
      <w:r w:rsidR="00383FCF" w:rsidRPr="000813F9">
        <w:t xml:space="preserve">Myeloid Leukemia </w:t>
      </w:r>
      <w:r w:rsidRPr="000813F9">
        <w:t>(AML)</w:t>
      </w:r>
      <w:r w:rsidRPr="000813F9">
        <w:rPr>
          <w:vertAlign w:val="superscript"/>
        </w:rPr>
        <w:t>3</w:t>
      </w:r>
    </w:p>
    <w:p w14:paraId="12971DF9" w14:textId="7404B590" w:rsidR="000813F9" w:rsidRPr="000813F9" w:rsidRDefault="000813F9" w:rsidP="000813F9">
      <w:pPr>
        <w:pStyle w:val="BodyText"/>
      </w:pPr>
      <w:r w:rsidRPr="000813F9">
        <w:t>Authorization of 12 months may be granted for the treatment of AML.</w:t>
      </w:r>
    </w:p>
    <w:p w14:paraId="33F3A8F9" w14:textId="5EA2F136" w:rsidR="000813F9" w:rsidRPr="000813F9" w:rsidRDefault="000813F9" w:rsidP="000813F9">
      <w:pPr>
        <w:pStyle w:val="Heading3"/>
        <w:keepNext w:val="0"/>
      </w:pPr>
      <w:r w:rsidRPr="000813F9">
        <w:t xml:space="preserve">Accelerated </w:t>
      </w:r>
      <w:r w:rsidR="00383FCF" w:rsidRPr="000813F9">
        <w:t xml:space="preserve">Phase </w:t>
      </w:r>
      <w:r w:rsidR="00383FCF">
        <w:t>o</w:t>
      </w:r>
      <w:r w:rsidR="00383FCF" w:rsidRPr="000813F9">
        <w:t>r Blast Phase Myeloproliferative Neoplasm</w:t>
      </w:r>
      <w:r w:rsidR="00383FCF" w:rsidRPr="000813F9">
        <w:rPr>
          <w:vertAlign w:val="superscript"/>
        </w:rPr>
        <w:t>3</w:t>
      </w:r>
    </w:p>
    <w:p w14:paraId="25A62662" w14:textId="77777777" w:rsidR="000813F9" w:rsidRPr="000813F9" w:rsidRDefault="000813F9" w:rsidP="000813F9">
      <w:pPr>
        <w:pStyle w:val="BodyText"/>
      </w:pPr>
      <w:r w:rsidRPr="000813F9">
        <w:t>Authorization of 12 months may be granted for the treatment of accelerated phase or blast phase myeloproliferative neoplasm.</w:t>
      </w:r>
    </w:p>
    <w:p w14:paraId="1D6C61EF" w14:textId="1F0E1E26" w:rsidR="000813F9" w:rsidRPr="000813F9" w:rsidRDefault="000813F9" w:rsidP="000813F9">
      <w:pPr>
        <w:pStyle w:val="Heading3"/>
        <w:keepNext w:val="0"/>
      </w:pPr>
      <w:r w:rsidRPr="000813F9">
        <w:t xml:space="preserve">Blastic </w:t>
      </w:r>
      <w:r w:rsidR="00383FCF" w:rsidRPr="000813F9">
        <w:t xml:space="preserve">Plasmacytoid Dendritic Cell Neoplasm </w:t>
      </w:r>
      <w:r w:rsidRPr="000813F9">
        <w:t>(BPDCN)</w:t>
      </w:r>
      <w:r w:rsidRPr="000813F9">
        <w:rPr>
          <w:vertAlign w:val="superscript"/>
        </w:rPr>
        <w:t>3</w:t>
      </w:r>
    </w:p>
    <w:p w14:paraId="61F5C6FE" w14:textId="77777777" w:rsidR="000813F9" w:rsidRPr="000813F9" w:rsidRDefault="000813F9" w:rsidP="000813F9">
      <w:pPr>
        <w:pStyle w:val="BodyText"/>
      </w:pPr>
      <w:r w:rsidRPr="000813F9">
        <w:t>Authorization of 12 months may be granted for the treatment of BPDCN when used in combination with venetoclax in either of the following settings:</w:t>
      </w:r>
    </w:p>
    <w:p w14:paraId="2CDFEED1" w14:textId="77777777" w:rsidR="000813F9" w:rsidRPr="000813F9" w:rsidRDefault="000813F9" w:rsidP="000813F9">
      <w:pPr>
        <w:pStyle w:val="ListParagraph"/>
        <w:numPr>
          <w:ilvl w:val="0"/>
          <w:numId w:val="35"/>
        </w:numPr>
      </w:pPr>
      <w:r w:rsidRPr="000813F9">
        <w:t>For the treatment of relapsed or refractory disease.</w:t>
      </w:r>
    </w:p>
    <w:p w14:paraId="25D99B06" w14:textId="77777777" w:rsidR="000813F9" w:rsidRPr="000813F9" w:rsidRDefault="000813F9" w:rsidP="000813F9">
      <w:pPr>
        <w:pStyle w:val="ListParagraph"/>
        <w:numPr>
          <w:ilvl w:val="0"/>
          <w:numId w:val="35"/>
        </w:numPr>
      </w:pPr>
      <w:r w:rsidRPr="000813F9">
        <w:t>For the treatment of systemic disease with palliative intent.</w:t>
      </w:r>
    </w:p>
    <w:p w14:paraId="7A9D099A" w14:textId="1EC0E58E" w:rsidR="000813F9" w:rsidRPr="000813F9" w:rsidRDefault="000813F9" w:rsidP="00540A90">
      <w:pPr>
        <w:pStyle w:val="Heading3"/>
        <w:keepNext w:val="0"/>
        <w:keepLines w:val="0"/>
      </w:pPr>
      <w:r w:rsidRPr="000813F9">
        <w:t xml:space="preserve">Myelodysplastic </w:t>
      </w:r>
      <w:r w:rsidR="00BA5025" w:rsidRPr="000813F9">
        <w:t>Syndrome (</w:t>
      </w:r>
      <w:r w:rsidRPr="000813F9">
        <w:t>MDS</w:t>
      </w:r>
      <w:r w:rsidR="00BA5025" w:rsidRPr="000813F9">
        <w:t>)/</w:t>
      </w:r>
      <w:r w:rsidRPr="000813F9">
        <w:t xml:space="preserve">Myeloproliferative Neoplasms </w:t>
      </w:r>
      <w:r w:rsidR="00BA5025" w:rsidRPr="000813F9">
        <w:t>(</w:t>
      </w:r>
      <w:r w:rsidRPr="000813F9">
        <w:t>MPN</w:t>
      </w:r>
      <w:r w:rsidR="00BA5025" w:rsidRPr="000813F9">
        <w:t xml:space="preserve">) </w:t>
      </w:r>
      <w:r w:rsidRPr="000813F9">
        <w:t>Overlap Neoplasms</w:t>
      </w:r>
      <w:r w:rsidRPr="000813F9">
        <w:rPr>
          <w:vertAlign w:val="superscript"/>
        </w:rPr>
        <w:t>3</w:t>
      </w:r>
      <w:r w:rsidR="00BA5025" w:rsidRPr="000813F9">
        <w:rPr>
          <w:vertAlign w:val="superscript"/>
        </w:rPr>
        <w:t>-4</w:t>
      </w:r>
    </w:p>
    <w:p w14:paraId="39B8D242" w14:textId="62895AC9" w:rsidR="000E7D73" w:rsidRDefault="000813F9" w:rsidP="00540A90">
      <w:pPr>
        <w:pStyle w:val="BodyText"/>
      </w:pPr>
      <w:r w:rsidRPr="000813F9">
        <w:t>Authorization of 12 months may be granted for the treatment of MDS/MPN overlap neoplasms (i.e., chronic myelomonocytic leukemia (CMML), juvenile myelomonocytic leukemia (JMML), BCR-ABL negative atypical chronic myeloid leukemia (</w:t>
      </w:r>
      <w:proofErr w:type="spellStart"/>
      <w:r w:rsidRPr="000813F9">
        <w:t>aCML</w:t>
      </w:r>
      <w:proofErr w:type="spellEnd"/>
      <w:r w:rsidRPr="000813F9">
        <w:t>), MDS/MPN with neutrophilia, unclassifiable MDS/MPN, MDS/MPN not otherwise specified (NOS)</w:t>
      </w:r>
      <w:r w:rsidR="00C51485">
        <w:t>,</w:t>
      </w:r>
      <w:r w:rsidRPr="000813F9">
        <w:t xml:space="preserve"> MDS/MPN with ring sideroblasts and thrombocytosis</w:t>
      </w:r>
      <w:r w:rsidR="00C51485">
        <w:t xml:space="preserve">, </w:t>
      </w:r>
      <w:r w:rsidR="0078116C">
        <w:t xml:space="preserve">or </w:t>
      </w:r>
      <w:r w:rsidR="00C51485">
        <w:t>MDS/MPN with SF3B1 mutation</w:t>
      </w:r>
      <w:r w:rsidRPr="000813F9">
        <w:t>).</w:t>
      </w:r>
    </w:p>
    <w:p w14:paraId="1340493D" w14:textId="77777777" w:rsidR="000E7D73" w:rsidRDefault="000E7D73" w:rsidP="00822D5D">
      <w:pPr>
        <w:pStyle w:val="BodyText"/>
        <w:widowControl w:val="0"/>
        <w:sectPr w:rsidR="000E7D73" w:rsidSect="009A3D85">
          <w:type w:val="continuous"/>
          <w:pgSz w:w="12240" w:h="15840" w:code="1"/>
          <w:pgMar w:top="900" w:right="720" w:bottom="990" w:left="720" w:header="450" w:footer="807" w:gutter="0"/>
          <w:paperSrc w:first="15" w:other="15"/>
          <w:cols w:space="720"/>
          <w:docGrid w:linePitch="299"/>
        </w:sectPr>
      </w:pPr>
    </w:p>
    <w:p w14:paraId="7DECE1B1" w14:textId="77777777" w:rsidR="000813F9" w:rsidRPr="000813F9" w:rsidRDefault="000813F9" w:rsidP="000813F9">
      <w:pPr>
        <w:pStyle w:val="Heading3"/>
        <w:keepNext w:val="0"/>
        <w:rPr>
          <w:lang w:val="fr-FR"/>
        </w:rPr>
      </w:pPr>
      <w:proofErr w:type="spellStart"/>
      <w:r w:rsidRPr="000813F9">
        <w:rPr>
          <w:lang w:val="fr-FR"/>
        </w:rPr>
        <w:t>Peripheral</w:t>
      </w:r>
      <w:proofErr w:type="spellEnd"/>
      <w:r w:rsidRPr="000813F9">
        <w:rPr>
          <w:lang w:val="fr-FR"/>
        </w:rPr>
        <w:t xml:space="preserve"> T-</w:t>
      </w:r>
      <w:proofErr w:type="spellStart"/>
      <w:r w:rsidRPr="000813F9">
        <w:rPr>
          <w:lang w:val="fr-FR"/>
        </w:rPr>
        <w:t>Cell</w:t>
      </w:r>
      <w:proofErr w:type="spellEnd"/>
      <w:r w:rsidRPr="000813F9">
        <w:rPr>
          <w:lang w:val="fr-FR"/>
        </w:rPr>
        <w:t xml:space="preserve"> </w:t>
      </w:r>
      <w:proofErr w:type="spellStart"/>
      <w:r w:rsidRPr="000813F9">
        <w:rPr>
          <w:lang w:val="fr-FR"/>
        </w:rPr>
        <w:t>Lymphoma</w:t>
      </w:r>
      <w:proofErr w:type="spellEnd"/>
      <w:r w:rsidRPr="000813F9">
        <w:rPr>
          <w:lang w:val="fr-FR"/>
        </w:rPr>
        <w:t xml:space="preserve"> (PTCL)</w:t>
      </w:r>
      <w:r w:rsidRPr="000813F9">
        <w:rPr>
          <w:vertAlign w:val="superscript"/>
          <w:lang w:val="fr-FR"/>
        </w:rPr>
        <w:t>3</w:t>
      </w:r>
    </w:p>
    <w:p w14:paraId="039B3A24" w14:textId="77777777" w:rsidR="000813F9" w:rsidRPr="000813F9" w:rsidRDefault="000813F9" w:rsidP="000813F9">
      <w:pPr>
        <w:pStyle w:val="BodyText"/>
      </w:pPr>
      <w:r w:rsidRPr="000813F9">
        <w:t>Authorization of 12 months may be granted for the treatment of peripheral T-cell lymphoma (PTCL) [including the following subtypes: angioimmunoblastic T-cell lymphoma (AITL), nodal peripheral T-cell lymphoma with TFH phenotype (PTCL, TFH), follicular T-cell lymphoma (FTCL)] when all of the following criteria are met:</w:t>
      </w:r>
    </w:p>
    <w:p w14:paraId="75122DD9" w14:textId="77777777" w:rsidR="000813F9" w:rsidRPr="000813F9" w:rsidRDefault="000813F9" w:rsidP="00477C29">
      <w:pPr>
        <w:pStyle w:val="ListParagraph"/>
        <w:numPr>
          <w:ilvl w:val="0"/>
          <w:numId w:val="40"/>
        </w:numPr>
      </w:pPr>
      <w:r w:rsidRPr="000813F9">
        <w:t>The requested medication will be used as subsequent therapy for relapsed or refractory disease</w:t>
      </w:r>
    </w:p>
    <w:p w14:paraId="5575D591" w14:textId="1CB1A1C9" w:rsidR="000813F9" w:rsidRPr="000813F9" w:rsidRDefault="000813F9" w:rsidP="00822D5D">
      <w:pPr>
        <w:pStyle w:val="ListParagraph"/>
        <w:numPr>
          <w:ilvl w:val="0"/>
          <w:numId w:val="40"/>
        </w:numPr>
        <w:spacing w:after="0"/>
      </w:pPr>
      <w:r w:rsidRPr="000813F9">
        <w:t>The requested medication will be used as a single agent</w:t>
      </w:r>
    </w:p>
    <w:p w14:paraId="28567E6D" w14:textId="4EB271A7" w:rsidR="000813F9" w:rsidRPr="000813F9" w:rsidRDefault="000813F9" w:rsidP="000813F9">
      <w:pPr>
        <w:pStyle w:val="Heading2"/>
        <w:tabs>
          <w:tab w:val="left" w:pos="9195"/>
        </w:tabs>
      </w:pPr>
      <w:r w:rsidRPr="000813F9">
        <w:t xml:space="preserve">Continuation </w:t>
      </w:r>
      <w:r>
        <w:t>o</w:t>
      </w:r>
      <w:r w:rsidRPr="000813F9">
        <w:t>f Therapy</w:t>
      </w:r>
    </w:p>
    <w:p w14:paraId="4E67CBFC" w14:textId="2F4C2FD7" w:rsidR="000813F9" w:rsidRPr="000813F9" w:rsidRDefault="000813F9" w:rsidP="00822D5D">
      <w:pPr>
        <w:pStyle w:val="BodyText"/>
        <w:spacing w:after="0"/>
      </w:pPr>
      <w:r w:rsidRPr="000813F9">
        <w:t xml:space="preserve">Authorization of 12 months may be granted for continued treatment in members requesting reauthorization for an indication listed in </w:t>
      </w:r>
      <w:r w:rsidR="00AF3E9E">
        <w:t>the coverage criteria section</w:t>
      </w:r>
      <w:r w:rsidRPr="000813F9">
        <w:t xml:space="preserve"> when there is no evidence of unacceptable toxicity or disease progression while on the current regimen.</w:t>
      </w:r>
    </w:p>
    <w:p w14:paraId="6AF728DE" w14:textId="644AFE59" w:rsidR="000813F9" w:rsidRPr="00FA313F" w:rsidRDefault="00FA313F" w:rsidP="00FA313F">
      <w:pPr>
        <w:pStyle w:val="Heading2"/>
      </w:pPr>
      <w:r w:rsidRPr="00FA313F">
        <w:t>References</w:t>
      </w:r>
    </w:p>
    <w:p w14:paraId="26E7C642" w14:textId="646E14E9" w:rsidR="000813F9" w:rsidRPr="00FA313F" w:rsidRDefault="000813F9" w:rsidP="00FA313F">
      <w:pPr>
        <w:pStyle w:val="ReferenceOrdered"/>
        <w:ind w:left="360"/>
      </w:pPr>
      <w:r w:rsidRPr="00FA313F">
        <w:t xml:space="preserve">Vidaza [package insert]. </w:t>
      </w:r>
      <w:r w:rsidR="000A0F21">
        <w:t>Princeton</w:t>
      </w:r>
      <w:r w:rsidRPr="00FA313F">
        <w:t xml:space="preserve">, NJ: Celgene Corporation; </w:t>
      </w:r>
      <w:r w:rsidR="000A0F21">
        <w:t>January</w:t>
      </w:r>
      <w:r w:rsidRPr="00FA313F">
        <w:t xml:space="preserve"> 202</w:t>
      </w:r>
      <w:r w:rsidR="000A0F21">
        <w:t>4</w:t>
      </w:r>
      <w:r w:rsidRPr="00FA313F">
        <w:t>.</w:t>
      </w:r>
    </w:p>
    <w:p w14:paraId="24ADA453" w14:textId="1CEF2A6D" w:rsidR="000813F9" w:rsidRPr="00FA313F" w:rsidRDefault="000813F9" w:rsidP="00FA313F">
      <w:pPr>
        <w:pStyle w:val="ReferenceOrdered"/>
        <w:ind w:left="360"/>
      </w:pPr>
      <w:r w:rsidRPr="00FA313F">
        <w:t>Azacitidine injection [package insert]. Princeton, NJ: Sandoz Inc.; September 2022.</w:t>
      </w:r>
    </w:p>
    <w:p w14:paraId="3485CF88" w14:textId="2333D996" w:rsidR="000813F9" w:rsidRPr="00FA313F" w:rsidRDefault="000813F9" w:rsidP="00FA313F">
      <w:pPr>
        <w:pStyle w:val="ReferenceOrdered"/>
        <w:ind w:left="360"/>
      </w:pPr>
      <w:r w:rsidRPr="00FA313F">
        <w:t>The NCCN Drugs &amp; Biologics Compendium® © 202</w:t>
      </w:r>
      <w:r w:rsidR="00CC3B7B">
        <w:t>5</w:t>
      </w:r>
      <w:r w:rsidRPr="00FA313F">
        <w:t xml:space="preserve"> National Comprehensive Cancer Network, Inc.. Available at http://www.nccn.org. Accessed January </w:t>
      </w:r>
      <w:r w:rsidR="00CC3B7B">
        <w:t>6</w:t>
      </w:r>
      <w:r w:rsidRPr="00FA313F">
        <w:t>, 202</w:t>
      </w:r>
      <w:r w:rsidR="00CC3B7B">
        <w:t>5</w:t>
      </w:r>
      <w:r w:rsidRPr="00FA313F">
        <w:t>.</w:t>
      </w:r>
    </w:p>
    <w:p w14:paraId="0C7763E9" w14:textId="77777777" w:rsidR="000813F9" w:rsidRDefault="000813F9" w:rsidP="00FA313F">
      <w:pPr>
        <w:pStyle w:val="ReferenceOrdered"/>
        <w:ind w:left="360"/>
      </w:pPr>
      <w:r w:rsidRPr="00FA313F">
        <w:t>Zoi K, Cross NC. Molecular pathogenesis of atypical CML, CMML and MDS/MPN unclassifiable. Int J Hematol 2015;101:229-242.</w:t>
      </w:r>
    </w:p>
    <w:sectPr w:rsidR="000813F9" w:rsidSect="003610B7">
      <w:headerReference w:type="first" r:id="rId15"/>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A4377" w14:textId="77777777" w:rsidR="006967A6" w:rsidRDefault="006967A6">
      <w:r>
        <w:separator/>
      </w:r>
    </w:p>
  </w:endnote>
  <w:endnote w:type="continuationSeparator" w:id="0">
    <w:p w14:paraId="56DCEC72" w14:textId="77777777" w:rsidR="006967A6" w:rsidRDefault="006967A6">
      <w:r>
        <w:continuationSeparator/>
      </w:r>
    </w:p>
  </w:endnote>
  <w:endnote w:type="continuationNotice" w:id="1">
    <w:p w14:paraId="4AA59151" w14:textId="77777777" w:rsidR="006967A6" w:rsidRDefault="006967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696573C"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2379FC" w:rsidRPr="002379FC">
      <w:rPr>
        <w:rFonts w:cs="Arial"/>
        <w:noProof/>
        <w:sz w:val="16"/>
        <w:szCs w:val="16"/>
      </w:rPr>
      <w:t>azacitidine-Vidaza</w:t>
    </w:r>
    <w:r w:rsidR="002379FC">
      <w:rPr>
        <w:rFonts w:cs="Arial"/>
        <w:noProof/>
        <w:snapToGrid w:val="0"/>
        <w:color w:val="000000"/>
        <w:sz w:val="16"/>
        <w:szCs w:val="16"/>
      </w:rPr>
      <w:t xml:space="preserve"> SGM 2280-A</w:t>
    </w:r>
    <w:r w:rsidR="002379FC" w:rsidRPr="002379FC">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0522BB">
      <w:rPr>
        <w:rFonts w:cs="Arial"/>
        <w:snapToGrid w:val="0"/>
        <w:color w:val="000000"/>
        <w:sz w:val="16"/>
      </w:rPr>
      <w:t>5</w:t>
    </w:r>
    <w:r w:rsidRPr="00EC47B6">
      <w:rPr>
        <w:rFonts w:cs="Arial"/>
        <w:snapToGrid w:val="0"/>
        <w:color w:val="000000"/>
        <w:sz w:val="16"/>
      </w:rPr>
      <w:t xml:space="preserve"> CVS Caremark. All rights reserved.</w:t>
    </w:r>
  </w:p>
  <w:p w14:paraId="61CF5924" w14:textId="5DA53968"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216DB002" w:rsidR="00F75C81" w:rsidRPr="00AC4069" w:rsidRDefault="00C36B72" w:rsidP="00AC4069">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9C5FD28"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2379FC" w:rsidRPr="002379FC">
      <w:rPr>
        <w:rFonts w:cs="Arial"/>
        <w:noProof/>
        <w:sz w:val="16"/>
        <w:szCs w:val="16"/>
      </w:rPr>
      <w:t>azacitidine-Vidaza SGM</w:t>
    </w:r>
    <w:r w:rsidR="002379FC">
      <w:rPr>
        <w:rFonts w:cs="Arial"/>
        <w:noProof/>
        <w:snapToGrid w:val="0"/>
        <w:color w:val="000000"/>
        <w:sz w:val="16"/>
        <w:szCs w:val="16"/>
      </w:rPr>
      <w:t xml:space="preserve"> 2280-A</w:t>
    </w:r>
    <w:r w:rsidR="002379FC" w:rsidRPr="002379FC">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CC3B7B">
      <w:rPr>
        <w:rFonts w:cs="Arial"/>
        <w:snapToGrid w:val="0"/>
        <w:color w:val="000000"/>
        <w:sz w:val="16"/>
      </w:rPr>
      <w:t>5</w:t>
    </w:r>
    <w:r w:rsidRPr="00EC47B6">
      <w:rPr>
        <w:rFonts w:cs="Arial"/>
        <w:snapToGrid w:val="0"/>
        <w:color w:val="000000"/>
        <w:sz w:val="16"/>
      </w:rPr>
      <w:t xml:space="preserve"> CVS Caremark. All rights reserved.</w:t>
    </w:r>
  </w:p>
  <w:p w14:paraId="39BFE579" w14:textId="437FB0C1"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02DCD91D" w:rsidR="00ED04EC" w:rsidRPr="00F50D98" w:rsidRDefault="00F50D98" w:rsidP="0089112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D2490" w14:textId="77777777" w:rsidR="006967A6" w:rsidRDefault="006967A6">
      <w:r>
        <w:separator/>
      </w:r>
    </w:p>
  </w:footnote>
  <w:footnote w:type="continuationSeparator" w:id="0">
    <w:p w14:paraId="1BD2E6E4" w14:textId="77777777" w:rsidR="006967A6" w:rsidRDefault="006967A6">
      <w:r>
        <w:continuationSeparator/>
      </w:r>
    </w:p>
  </w:footnote>
  <w:footnote w:type="continuationNotice" w:id="1">
    <w:p w14:paraId="170A576A" w14:textId="77777777" w:rsidR="006967A6" w:rsidRDefault="006967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524748" w:rsidRDefault="00ED04EC" w:rsidP="00ED04EC">
          <w:pPr>
            <w:pStyle w:val="Header"/>
            <w:rPr>
              <w:rFonts w:cs="Arial"/>
              <w:sz w:val="16"/>
              <w:szCs w:val="16"/>
            </w:rPr>
          </w:pPr>
          <w:r w:rsidRPr="00524748">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3E8AF11B" w:rsidR="00ED04EC" w:rsidRPr="00524748" w:rsidRDefault="00524748" w:rsidP="00ED04EC">
          <w:pPr>
            <w:pStyle w:val="Header"/>
            <w:rPr>
              <w:rFonts w:cs="Arial"/>
              <w:sz w:val="16"/>
              <w:szCs w:val="16"/>
            </w:rPr>
          </w:pPr>
          <w:r w:rsidRPr="00524748">
            <w:rPr>
              <w:rFonts w:cs="Arial"/>
              <w:sz w:val="16"/>
              <w:szCs w:val="16"/>
            </w:rPr>
            <w:t>2280-A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602300" w:rsidRPr="00ED04EC" w14:paraId="541ED3C7" w14:textId="77777777" w:rsidTr="005262BC">
      <w:trPr>
        <w:trHeight w:val="144"/>
        <w:jc w:val="right"/>
      </w:trPr>
      <w:tc>
        <w:tcPr>
          <w:tcW w:w="1854" w:type="dxa"/>
          <w:hideMark/>
        </w:tcPr>
        <w:p w14:paraId="2CA514E1" w14:textId="77777777" w:rsidR="00602300" w:rsidRPr="00524748" w:rsidRDefault="00602300" w:rsidP="00602300">
          <w:pPr>
            <w:pStyle w:val="Header"/>
            <w:rPr>
              <w:rFonts w:cs="Arial"/>
              <w:sz w:val="16"/>
              <w:szCs w:val="16"/>
            </w:rPr>
          </w:pPr>
          <w:r w:rsidRPr="00524748">
            <w:rPr>
              <w:rFonts w:cs="Arial"/>
              <w:sz w:val="16"/>
              <w:szCs w:val="16"/>
            </w:rPr>
            <w:t>Reference number(s)</w:t>
          </w:r>
        </w:p>
      </w:tc>
    </w:tr>
    <w:tr w:rsidR="00602300" w:rsidRPr="00ED04EC" w14:paraId="0C8A94B4" w14:textId="77777777" w:rsidTr="005262BC">
      <w:trPr>
        <w:trHeight w:val="378"/>
        <w:jc w:val="right"/>
      </w:trPr>
      <w:tc>
        <w:tcPr>
          <w:tcW w:w="1854" w:type="dxa"/>
          <w:hideMark/>
        </w:tcPr>
        <w:p w14:paraId="3DAF638B" w14:textId="77777777" w:rsidR="00602300" w:rsidRPr="00524748" w:rsidRDefault="00602300" w:rsidP="00602300">
          <w:pPr>
            <w:pStyle w:val="Header"/>
            <w:rPr>
              <w:rFonts w:cs="Arial"/>
              <w:sz w:val="16"/>
              <w:szCs w:val="16"/>
            </w:rPr>
          </w:pPr>
          <w:r w:rsidRPr="00524748">
            <w:rPr>
              <w:rFonts w:cs="Arial"/>
              <w:sz w:val="16"/>
              <w:szCs w:val="16"/>
            </w:rPr>
            <w:t>2280-A</w:t>
          </w:r>
        </w:p>
      </w:tc>
    </w:tr>
  </w:tbl>
  <w:p w14:paraId="2C7E5250" w14:textId="77777777" w:rsidR="00602300" w:rsidRDefault="006023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3D521C2"/>
    <w:multiLevelType w:val="hybridMultilevel"/>
    <w:tmpl w:val="AE14AB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7517A2"/>
    <w:multiLevelType w:val="hybridMultilevel"/>
    <w:tmpl w:val="1E84367E"/>
    <w:lvl w:ilvl="0" w:tplc="E1F28718">
      <w:start w:val="1"/>
      <w:numFmt w:val="decimal"/>
      <w:lvlText w:val="%1."/>
      <w:lvlJc w:val="left"/>
      <w:pPr>
        <w:ind w:left="1440" w:hanging="360"/>
      </w:pPr>
      <w:rPr>
        <w:rFonts w:ascii="Arial" w:eastAsia="Times New Roman" w:hAnsi="Arial" w:cs="Arial"/>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8C632F0"/>
    <w:multiLevelType w:val="hybridMultilevel"/>
    <w:tmpl w:val="CC9AC8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0C58447C"/>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AD74D33"/>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0"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6280636"/>
    <w:multiLevelType w:val="hybridMultilevel"/>
    <w:tmpl w:val="3D7C1046"/>
    <w:lvl w:ilvl="0" w:tplc="9D16F11A">
      <w:start w:val="1"/>
      <w:numFmt w:val="upperLetter"/>
      <w:lvlText w:val="%1."/>
      <w:lvlJc w:val="left"/>
      <w:pPr>
        <w:ind w:left="1080" w:hanging="360"/>
      </w:pPr>
      <w:rPr>
        <w:rFonts w:ascii="Arial" w:eastAsia="Times New Roman" w:hAnsi="Arial" w:cs="Arial"/>
        <w:color w:val="auto"/>
      </w:rPr>
    </w:lvl>
    <w:lvl w:ilvl="1" w:tplc="D64A6F08">
      <w:start w:val="1"/>
      <w:numFmt w:val="decimal"/>
      <w:lvlText w:val="%2."/>
      <w:lvlJc w:val="left"/>
      <w:pPr>
        <w:ind w:left="1440" w:hanging="360"/>
      </w:pPr>
      <w:rPr>
        <w:rFonts w:ascii="Arial" w:eastAsia="Times New Roman" w:hAnsi="Arial" w:cs="Arial"/>
      </w:rPr>
    </w:lvl>
    <w:lvl w:ilvl="2" w:tplc="0409001B">
      <w:start w:val="1"/>
      <w:numFmt w:val="lowerRoman"/>
      <w:lvlText w:val="%3."/>
      <w:lvlJc w:val="right"/>
      <w:pPr>
        <w:ind w:left="2520" w:hanging="180"/>
      </w:pPr>
    </w:lvl>
    <w:lvl w:ilvl="3" w:tplc="B4A820D8">
      <w:start w:val="1"/>
      <w:numFmt w:val="decimal"/>
      <w:lvlText w:val="%4."/>
      <w:lvlJc w:val="left"/>
      <w:pPr>
        <w:ind w:left="1440" w:hanging="360"/>
      </w:pPr>
      <w:rPr>
        <w:rFonts w:ascii="Arial" w:eastAsia="Times New Roman" w:hAnsi="Arial" w:cs="Arial"/>
      </w:rPr>
    </w:lvl>
    <w:lvl w:ilvl="4" w:tplc="04090019">
      <w:start w:val="1"/>
      <w:numFmt w:val="lowerLetter"/>
      <w:lvlText w:val="%5."/>
      <w:lvlJc w:val="left"/>
      <w:pPr>
        <w:ind w:left="1800" w:hanging="360"/>
      </w:pPr>
    </w:lvl>
    <w:lvl w:ilvl="5" w:tplc="0409001B">
      <w:start w:val="1"/>
      <w:numFmt w:val="lowerRoman"/>
      <w:lvlText w:val="%6."/>
      <w:lvlJc w:val="right"/>
      <w:pPr>
        <w:ind w:left="216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9B82195"/>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B07FF1"/>
    <w:multiLevelType w:val="hybridMultilevel"/>
    <w:tmpl w:val="9D148018"/>
    <w:lvl w:ilvl="0" w:tplc="96CE01C8">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536CD7"/>
    <w:multiLevelType w:val="hybridMultilevel"/>
    <w:tmpl w:val="DAFC7110"/>
    <w:lvl w:ilvl="0" w:tplc="5652FFA4">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6"/>
  </w:num>
  <w:num w:numId="2" w16cid:durableId="606935877">
    <w:abstractNumId w:val="30"/>
  </w:num>
  <w:num w:numId="3" w16cid:durableId="611589570">
    <w:abstractNumId w:val="26"/>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7"/>
  </w:num>
  <w:num w:numId="15" w16cid:durableId="616722934">
    <w:abstractNumId w:val="12"/>
  </w:num>
  <w:num w:numId="16" w16cid:durableId="898320195">
    <w:abstractNumId w:val="24"/>
  </w:num>
  <w:num w:numId="17" w16cid:durableId="2128498676">
    <w:abstractNumId w:val="33"/>
  </w:num>
  <w:num w:numId="18" w16cid:durableId="299724409">
    <w:abstractNumId w:val="27"/>
  </w:num>
  <w:num w:numId="19" w16cid:durableId="214585573">
    <w:abstractNumId w:val="19"/>
  </w:num>
  <w:num w:numId="20" w16cid:durableId="1289816170">
    <w:abstractNumId w:val="20"/>
  </w:num>
  <w:num w:numId="21" w16cid:durableId="1066490929">
    <w:abstractNumId w:val="34"/>
  </w:num>
  <w:num w:numId="22" w16cid:durableId="1472481103">
    <w:abstractNumId w:val="29"/>
  </w:num>
  <w:num w:numId="23" w16cid:durableId="1997420403">
    <w:abstractNumId w:val="31"/>
  </w:num>
  <w:num w:numId="24" w16cid:durableId="33312838">
    <w:abstractNumId w:val="28"/>
  </w:num>
  <w:num w:numId="25" w16cid:durableId="507404939">
    <w:abstractNumId w:val="23"/>
  </w:num>
  <w:num w:numId="26" w16cid:durableId="1052536090">
    <w:abstractNumId w:val="11"/>
  </w:num>
  <w:num w:numId="27" w16cid:durableId="899680648">
    <w:abstractNumId w:val="34"/>
  </w:num>
  <w:num w:numId="28" w16cid:durableId="1570455087">
    <w:abstractNumId w:val="13"/>
  </w:num>
  <w:num w:numId="29" w16cid:durableId="764496792">
    <w:abstractNumId w:val="34"/>
  </w:num>
  <w:num w:numId="30" w16cid:durableId="297420738">
    <w:abstractNumId w:val="32"/>
  </w:num>
  <w:num w:numId="31" w16cid:durableId="2084184520">
    <w:abstractNumId w:val="21"/>
  </w:num>
  <w:num w:numId="32" w16cid:durableId="1889027560">
    <w:abstractNumId w:val="25"/>
  </w:num>
  <w:num w:numId="33" w16cid:durableId="133643567">
    <w:abstractNumId w:val="14"/>
  </w:num>
  <w:num w:numId="34" w16cid:durableId="573976859">
    <w:abstractNumId w:val="34"/>
  </w:num>
  <w:num w:numId="35" w16cid:durableId="1968008016">
    <w:abstractNumId w:val="18"/>
  </w:num>
  <w:num w:numId="36" w16cid:durableId="242566304">
    <w:abstractNumId w:val="34"/>
  </w:num>
  <w:num w:numId="37" w16cid:durableId="979111877">
    <w:abstractNumId w:val="10"/>
  </w:num>
  <w:num w:numId="38" w16cid:durableId="1251618981">
    <w:abstractNumId w:val="30"/>
  </w:num>
  <w:num w:numId="39" w16cid:durableId="271860816">
    <w:abstractNumId w:val="22"/>
  </w:num>
  <w:num w:numId="40" w16cid:durableId="515778259">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686E"/>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2BB"/>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3F9"/>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0F21"/>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E7D73"/>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0A09"/>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512"/>
    <w:rsid w:val="00156A50"/>
    <w:rsid w:val="00156B77"/>
    <w:rsid w:val="00156E31"/>
    <w:rsid w:val="00160472"/>
    <w:rsid w:val="00162951"/>
    <w:rsid w:val="001630B4"/>
    <w:rsid w:val="00165258"/>
    <w:rsid w:val="00165670"/>
    <w:rsid w:val="00165A99"/>
    <w:rsid w:val="001675AA"/>
    <w:rsid w:val="00170325"/>
    <w:rsid w:val="00172621"/>
    <w:rsid w:val="00173AB9"/>
    <w:rsid w:val="001747DB"/>
    <w:rsid w:val="00174F3B"/>
    <w:rsid w:val="00175B12"/>
    <w:rsid w:val="00175F8E"/>
    <w:rsid w:val="00176167"/>
    <w:rsid w:val="00176A70"/>
    <w:rsid w:val="0017701E"/>
    <w:rsid w:val="00177020"/>
    <w:rsid w:val="00177E1F"/>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19B2"/>
    <w:rsid w:val="001A2781"/>
    <w:rsid w:val="001A2987"/>
    <w:rsid w:val="001A320A"/>
    <w:rsid w:val="001A33ED"/>
    <w:rsid w:val="001A432C"/>
    <w:rsid w:val="001A4C1C"/>
    <w:rsid w:val="001A4DBB"/>
    <w:rsid w:val="001A55B8"/>
    <w:rsid w:val="001A576D"/>
    <w:rsid w:val="001A57C5"/>
    <w:rsid w:val="001A6053"/>
    <w:rsid w:val="001A6CBA"/>
    <w:rsid w:val="001A7761"/>
    <w:rsid w:val="001A7D7F"/>
    <w:rsid w:val="001B42B6"/>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9FC"/>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0B7"/>
    <w:rsid w:val="00361AEE"/>
    <w:rsid w:val="00362CE9"/>
    <w:rsid w:val="00363EF7"/>
    <w:rsid w:val="00363F55"/>
    <w:rsid w:val="0036404E"/>
    <w:rsid w:val="00364436"/>
    <w:rsid w:val="003649B7"/>
    <w:rsid w:val="00364A41"/>
    <w:rsid w:val="00364AC1"/>
    <w:rsid w:val="00364CF9"/>
    <w:rsid w:val="003656E0"/>
    <w:rsid w:val="00365E9F"/>
    <w:rsid w:val="00366318"/>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3FCF"/>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0F5"/>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679"/>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3D1B"/>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D6C"/>
    <w:rsid w:val="00474E36"/>
    <w:rsid w:val="00475D6D"/>
    <w:rsid w:val="004763E4"/>
    <w:rsid w:val="00476490"/>
    <w:rsid w:val="0047697B"/>
    <w:rsid w:val="00476C5C"/>
    <w:rsid w:val="00477751"/>
    <w:rsid w:val="00477C29"/>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335"/>
    <w:rsid w:val="004E4FB7"/>
    <w:rsid w:val="004E563C"/>
    <w:rsid w:val="004E69C5"/>
    <w:rsid w:val="004E6C9B"/>
    <w:rsid w:val="004E6FA5"/>
    <w:rsid w:val="004F0A1D"/>
    <w:rsid w:val="004F1A5E"/>
    <w:rsid w:val="004F2E2A"/>
    <w:rsid w:val="004F34FF"/>
    <w:rsid w:val="004F35C5"/>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748"/>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0A90"/>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0C5F"/>
    <w:rsid w:val="005B10B5"/>
    <w:rsid w:val="005B1A17"/>
    <w:rsid w:val="005B1B77"/>
    <w:rsid w:val="005B2321"/>
    <w:rsid w:val="005B28D1"/>
    <w:rsid w:val="005B29C6"/>
    <w:rsid w:val="005B425D"/>
    <w:rsid w:val="005B496D"/>
    <w:rsid w:val="005B52C4"/>
    <w:rsid w:val="005C026B"/>
    <w:rsid w:val="005C16D8"/>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300"/>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386D"/>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25BF"/>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67A6"/>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457"/>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0C1A"/>
    <w:rsid w:val="00751072"/>
    <w:rsid w:val="00751334"/>
    <w:rsid w:val="00752352"/>
    <w:rsid w:val="007526DB"/>
    <w:rsid w:val="0075276C"/>
    <w:rsid w:val="00752956"/>
    <w:rsid w:val="00753B12"/>
    <w:rsid w:val="00753CC1"/>
    <w:rsid w:val="00753E6F"/>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16C"/>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4CD1"/>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18"/>
    <w:rsid w:val="007C74F4"/>
    <w:rsid w:val="007D151B"/>
    <w:rsid w:val="007D1C72"/>
    <w:rsid w:val="007D1E64"/>
    <w:rsid w:val="007D223D"/>
    <w:rsid w:val="007D2A12"/>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2D5D"/>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124"/>
    <w:rsid w:val="00891958"/>
    <w:rsid w:val="00892A08"/>
    <w:rsid w:val="008943CF"/>
    <w:rsid w:val="008945D6"/>
    <w:rsid w:val="00895C0F"/>
    <w:rsid w:val="00895FE5"/>
    <w:rsid w:val="008965D6"/>
    <w:rsid w:val="00896FAB"/>
    <w:rsid w:val="008973E6"/>
    <w:rsid w:val="00897778"/>
    <w:rsid w:val="00897A39"/>
    <w:rsid w:val="00897BD4"/>
    <w:rsid w:val="008A08A4"/>
    <w:rsid w:val="008A15EC"/>
    <w:rsid w:val="008A3668"/>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296E"/>
    <w:rsid w:val="0094298C"/>
    <w:rsid w:val="009434E1"/>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2A1"/>
    <w:rsid w:val="009A35FA"/>
    <w:rsid w:val="009A3D32"/>
    <w:rsid w:val="009A3D85"/>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1985"/>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4D9"/>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5E"/>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E2D"/>
    <w:rsid w:val="00AC2FF1"/>
    <w:rsid w:val="00AC3092"/>
    <w:rsid w:val="00AC319E"/>
    <w:rsid w:val="00AC3729"/>
    <w:rsid w:val="00AC3ACD"/>
    <w:rsid w:val="00AC4069"/>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3E9E"/>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025"/>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6"/>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02D"/>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17AA2"/>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148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3B7B"/>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E2"/>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9A9"/>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5DB"/>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13F"/>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207625-2418-4FC7-BC06-B88394A0B03D}"/>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618</Words>
  <Characters>3529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azacitidine-Vidaza 2280-A SGM 2024</vt:lpstr>
    </vt:vector>
  </TitlesOfParts>
  <Company>PCS Health Systems</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azacitidine-Vidaza SGM 2280-A</dc:title>
  <dc:subject/>
  <dc:creator>CVS Caremark</dc:creator>
  <cp:keywords/>
  <cp:lastModifiedBy>Huerta, Linda M</cp:lastModifiedBy>
  <cp:revision>3</cp:revision>
  <cp:lastPrinted>2024-04-08T12:57:00Z</cp:lastPrinted>
  <dcterms:created xsi:type="dcterms:W3CDTF">2025-04-22T16:00:00Z</dcterms:created>
  <dcterms:modified xsi:type="dcterms:W3CDTF">2025-04-22T16:01:00Z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944800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